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林海镇中心校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（一）全面落实党的教育方针政策，依法办学，依法治校全面推进素质教育。</w:t>
      </w: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（二）坚持“以德育为首，教育为主，育人为本”的“三为”办学原则。</w:t>
      </w: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（三）坚持社会主义办学方向，全面贯彻国家教育方针，执行国家教育办颁发的初中教学计划、各科课程标准，在教育行政部门的统一领导小组</w:t>
      </w:r>
      <w:bookmarkStart w:id="0" w:name="_GoBack"/>
      <w:bookmarkEnd w:id="0"/>
      <w:r>
        <w:rPr>
          <w:rFonts w:hint="eastAsia" w:asciiTheme="minorEastAsia" w:hAnsiTheme="minorEastAsia" w:eastAsiaTheme="minorEastAsia" w:cstheme="minorEastAsia"/>
          <w:color w:val="000000"/>
          <w:sz w:val="28"/>
          <w:szCs w:val="28"/>
        </w:rPr>
        <w:t>实施教学工作。</w:t>
      </w: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（四）加强对教职工思想素质教育，学校对全体教职工实行聘任制，任课教师必须具备专科以上学历，同时具有初中教师资格。</w:t>
      </w: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（五）任课教师必须执行国家教育方针和教学计划，树立正确教育观、人才观和质量关，全面实施素质教育，教书育人，完成教育教学工作任务。</w:t>
      </w: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（六）抓好全校教职工的思想政治工作，形成全员育人风气，做到教书育人、管理育人、服务育人。</w:t>
      </w:r>
    </w:p>
    <w:p>
      <w:pPr>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（七）培养学生能力，使学生能够努力学习，积极参加学校组织的各项活动，尊敬师长，团结同学，关心集体，热爱学校，使学生成为德智体美劳全面发展的优秀学生，真正达到教书育人的目的。</w:t>
      </w:r>
    </w:p>
    <w:p>
      <w:pPr>
        <w:ind w:firstLine="640" w:firstLineChars="200"/>
        <w:rPr>
          <w:sz w:val="32"/>
          <w:szCs w:val="32"/>
        </w:rPr>
      </w:pP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eastAsia="zh-CN"/>
        </w:rPr>
        <w:t>林海镇中心校</w:t>
      </w:r>
      <w:r>
        <w:rPr>
          <w:rFonts w:hint="eastAsia"/>
          <w:sz w:val="32"/>
          <w:szCs w:val="32"/>
        </w:rPr>
        <w:t>内设</w:t>
      </w:r>
      <w:r>
        <w:rPr>
          <w:rFonts w:hint="eastAsia"/>
          <w:sz w:val="32"/>
          <w:szCs w:val="32"/>
          <w:lang w:val="en-US" w:eastAsia="zh-CN"/>
        </w:rPr>
        <w:t>0</w:t>
      </w:r>
      <w:r>
        <w:rPr>
          <w:rFonts w:hint="eastAsia"/>
          <w:sz w:val="32"/>
          <w:szCs w:val="32"/>
        </w:rPr>
        <w:t>个机构</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0"/>
        <w:rPr>
          <w:rFonts w:hint="eastAsia" w:ascii="宋体"/>
          <w:b/>
          <w:bCs/>
          <w:sz w:val="32"/>
          <w:szCs w:val="32"/>
        </w:rPr>
      </w:pPr>
      <w:r>
        <w:rPr>
          <w:rFonts w:hint="eastAsia" w:ascii="宋体" w:hAnsi="宋体"/>
          <w:sz w:val="32"/>
          <w:szCs w:val="32"/>
        </w:rPr>
        <w:t>详见附表</w:t>
      </w:r>
      <w:r>
        <w:rPr>
          <w:rFonts w:ascii="宋体" w:hAnsi="宋体"/>
          <w:sz w:val="32"/>
          <w:szCs w:val="32"/>
        </w:rPr>
        <w:t>1-</w:t>
      </w:r>
      <w:r>
        <w:rPr>
          <w:rFonts w:hint="eastAsia"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1455.87</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1455.87</w:t>
      </w:r>
      <w:r>
        <w:rPr>
          <w:rFonts w:hint="eastAsia" w:ascii="宋体"/>
          <w:sz w:val="32"/>
          <w:szCs w:val="32"/>
        </w:rPr>
        <w:t>万元，其中：本年收入</w:t>
      </w:r>
      <w:r>
        <w:rPr>
          <w:rFonts w:hint="eastAsia" w:ascii="宋体"/>
          <w:sz w:val="32"/>
          <w:szCs w:val="32"/>
          <w:lang w:val="en-US" w:eastAsia="zh-CN"/>
        </w:rPr>
        <w:t>1455.87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1455.87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1455.87</w:t>
      </w:r>
      <w:r>
        <w:rPr>
          <w:rFonts w:hint="eastAsia" w:ascii="宋体"/>
          <w:sz w:val="32"/>
          <w:szCs w:val="32"/>
        </w:rPr>
        <w:t>万元，其中：基本支出</w:t>
      </w:r>
      <w:r>
        <w:rPr>
          <w:rFonts w:hint="eastAsia" w:ascii="宋体"/>
          <w:sz w:val="32"/>
          <w:szCs w:val="32"/>
          <w:lang w:val="en-US" w:eastAsia="zh-CN"/>
        </w:rPr>
        <w:t>1455.87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1455.87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1455.87</w:t>
      </w:r>
      <w:r>
        <w:rPr>
          <w:rFonts w:hint="eastAsia" w:ascii="宋体"/>
          <w:sz w:val="32"/>
          <w:szCs w:val="32"/>
        </w:rPr>
        <w:t>万元，其中：一般公共预算拨款</w:t>
      </w:r>
      <w:r>
        <w:rPr>
          <w:rFonts w:hint="eastAsia" w:ascii="宋体"/>
          <w:sz w:val="32"/>
          <w:szCs w:val="32"/>
          <w:lang w:val="en-US" w:eastAsia="zh-CN"/>
        </w:rPr>
        <w:t>1455.87</w:t>
      </w:r>
      <w:r>
        <w:rPr>
          <w:rFonts w:hint="eastAsia" w:ascii="宋体"/>
          <w:sz w:val="32"/>
          <w:szCs w:val="32"/>
        </w:rPr>
        <w:t>万元。支出包括：</w:t>
      </w:r>
      <w:r>
        <w:rPr>
          <w:rFonts w:hint="eastAsia" w:ascii="宋体"/>
          <w:sz w:val="32"/>
          <w:szCs w:val="32"/>
          <w:lang w:eastAsia="zh-CN"/>
        </w:rPr>
        <w:t>教育支出</w:t>
      </w:r>
      <w:r>
        <w:rPr>
          <w:rFonts w:hint="eastAsia" w:ascii="宋体"/>
          <w:sz w:val="32"/>
          <w:szCs w:val="32"/>
          <w:lang w:val="en-US" w:eastAsia="zh-CN"/>
        </w:rPr>
        <w:t>1060.83万元，</w:t>
      </w:r>
      <w:r>
        <w:rPr>
          <w:rFonts w:hint="eastAsia" w:ascii="宋体"/>
          <w:sz w:val="32"/>
          <w:szCs w:val="32"/>
        </w:rPr>
        <w:t>社会保障和就业支出</w:t>
      </w:r>
      <w:r>
        <w:rPr>
          <w:rFonts w:hint="eastAsia" w:ascii="宋体"/>
          <w:sz w:val="32"/>
          <w:szCs w:val="32"/>
          <w:lang w:val="en-US" w:eastAsia="zh-CN"/>
        </w:rPr>
        <w:t>253.16</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65.18万元，住房保障支出76.7万元。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1455.87</w:t>
      </w:r>
      <w:r>
        <w:rPr>
          <w:rFonts w:hint="eastAsia" w:ascii="宋体"/>
          <w:sz w:val="32"/>
          <w:szCs w:val="32"/>
        </w:rPr>
        <w:t>万元，其中：基本支出</w:t>
      </w:r>
      <w:r>
        <w:rPr>
          <w:rFonts w:hint="eastAsia" w:ascii="宋体"/>
          <w:sz w:val="32"/>
          <w:szCs w:val="32"/>
          <w:lang w:val="en-US" w:eastAsia="zh-CN"/>
        </w:rPr>
        <w:t>1455.87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1455.87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1455.87</w:t>
      </w:r>
      <w:r>
        <w:rPr>
          <w:rFonts w:hint="eastAsia" w:ascii="宋体"/>
          <w:sz w:val="32"/>
          <w:szCs w:val="32"/>
        </w:rPr>
        <w:t>万元，其中：人员经费</w:t>
      </w:r>
      <w:r>
        <w:rPr>
          <w:rFonts w:hint="eastAsia" w:ascii="宋体"/>
          <w:sz w:val="32"/>
          <w:szCs w:val="32"/>
          <w:lang w:val="en-US" w:eastAsia="zh-CN"/>
        </w:rPr>
        <w:t>1455.87</w:t>
      </w:r>
      <w:r>
        <w:rPr>
          <w:rFonts w:hint="eastAsia" w:ascii="宋体"/>
          <w:sz w:val="32"/>
          <w:szCs w:val="32"/>
        </w:rPr>
        <w:t>万元，主要包括：基本工资、津贴补贴、机关事业单位基本养老保险缴费、职工基本医疗保险缴费、其他社会保障缴费、住房公积金。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ZiZmRlYTc1MzgzYzgxZjY5Nzg2OWVjYzZmMzJkNDMifQ=="/>
  </w:docVars>
  <w:rsids>
    <w:rsidRoot w:val="00000000"/>
    <w:rsid w:val="04DC66A0"/>
    <w:rsid w:val="08C01B3C"/>
    <w:rsid w:val="5BCC25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uiPriority w:val="99"/>
    <w:rPr>
      <w:rFonts w:cs="Times New Roman"/>
      <w:sz w:val="18"/>
      <w:szCs w:val="18"/>
    </w:rPr>
  </w:style>
  <w:style w:type="character" w:customStyle="1" w:styleId="11">
    <w:name w:val="页脚 Char Char"/>
    <w:basedOn w:val="6"/>
    <w:link w:val="4"/>
    <w:uiPriority w:val="99"/>
    <w:rPr>
      <w:rFonts w:cs="Times New Roman"/>
      <w:sz w:val="18"/>
      <w:szCs w:val="18"/>
    </w:rPr>
  </w:style>
  <w:style w:type="character" w:customStyle="1" w:styleId="12">
    <w:name w:val="日期 Char Char"/>
    <w:basedOn w:val="6"/>
    <w:link w:val="3"/>
    <w:uiPriority w:val="99"/>
    <w:rPr>
      <w:rFonts w:cs="Times New Roman"/>
    </w:rPr>
  </w:style>
  <w:style w:type="character" w:customStyle="1" w:styleId="13">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2576</Words>
  <Characters>2750</Characters>
  <Lines>25</Lines>
  <Paragraphs>7</Paragraphs>
  <TotalTime>2</TotalTime>
  <ScaleCrop>false</ScaleCrop>
  <LinksUpToDate>false</LinksUpToDate>
  <CharactersWithSpaces>3100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2023-12-04T02:41:34Z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80FF8B75121345068BD477AAC46EA8D0</vt:lpwstr>
  </property>
</Properties>
</file>